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2"/>
        </w:rPr>
      </w:pPr>
    </w:p>
    <w:p>
      <w:pPr>
        <w:spacing w:after="0"/>
        <w:rPr>
          <w:rFonts w:ascii="Times New Roman"/>
          <w:sz w:val="22"/>
        </w:rPr>
        <w:sectPr>
          <w:type w:val="continuous"/>
          <w:pgSz w:w="16840" w:h="11910" w:orient="landscape"/>
          <w:pgMar w:top="0" w:bottom="0" w:left="0" w:right="460"/>
        </w:sectPr>
      </w:pP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Heading1"/>
        <w:ind w:left="221"/>
      </w:pPr>
      <w:r>
        <w:rPr>
          <w:color w:val="FFFFFF"/>
        </w:rPr>
        <w:t>Your University at your side</w:t>
      </w:r>
    </w:p>
    <w:p>
      <w:pPr>
        <w:pStyle w:val="Heading2"/>
        <w:spacing w:line="300" w:lineRule="auto"/>
        <w:ind w:right="394"/>
      </w:pPr>
      <w:r>
        <w:rPr>
          <w:color w:val="FFFFFF"/>
        </w:rPr>
        <w:t>Mental Health and Wellbeing at the University of Wolverhampton:</w:t>
      </w:r>
    </w:p>
    <w:p>
      <w:pPr>
        <w:pStyle w:val="ListParagraph"/>
        <w:numPr>
          <w:ilvl w:val="0"/>
          <w:numId w:val="1"/>
        </w:numPr>
        <w:tabs>
          <w:tab w:pos="504" w:val="left" w:leader="none"/>
          <w:tab w:pos="505" w:val="left" w:leader="none"/>
        </w:tabs>
        <w:spacing w:line="240" w:lineRule="auto" w:before="10" w:after="0"/>
        <w:ind w:left="504" w:right="0" w:hanging="283"/>
        <w:jc w:val="left"/>
        <w:rPr>
          <w:sz w:val="16"/>
        </w:rPr>
      </w:pP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504" w:val="left" w:leader="none"/>
          <w:tab w:pos="505" w:val="left" w:leader="none"/>
        </w:tabs>
        <w:spacing w:line="240" w:lineRule="auto" w:before="0" w:after="0"/>
        <w:ind w:left="504" w:right="0" w:hanging="283"/>
        <w:jc w:val="left"/>
        <w:rPr>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504" w:val="left" w:leader="none"/>
          <w:tab w:pos="505" w:val="left" w:leader="none"/>
        </w:tabs>
        <w:spacing w:line="240" w:lineRule="auto" w:before="0" w:after="0"/>
        <w:ind w:left="504" w:right="0" w:hanging="283"/>
        <w:jc w:val="left"/>
        <w:rPr>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504" w:val="left" w:leader="none"/>
          <w:tab w:pos="505" w:val="left" w:leader="none"/>
        </w:tabs>
        <w:spacing w:line="240" w:lineRule="auto" w:before="0" w:after="0"/>
        <w:ind w:left="504" w:right="271" w:hanging="283"/>
        <w:jc w:val="left"/>
        <w:rPr>
          <w:sz w:val="16"/>
        </w:rPr>
      </w:pPr>
      <w:r>
        <w:rPr>
          <w:color w:val="FFFFFF"/>
          <w:sz w:val="16"/>
        </w:rPr>
        <w:t>are experienced in dealing with a wide range of problems</w:t>
      </w:r>
    </w:p>
    <w:p>
      <w:pPr>
        <w:spacing w:line="232" w:lineRule="auto" w:before="107"/>
        <w:ind w:left="297" w:right="0" w:firstLine="0"/>
        <w:jc w:val="left"/>
        <w:rPr>
          <w:b/>
          <w:sz w:val="50"/>
        </w:rPr>
      </w:pPr>
      <w:r>
        <w:rPr/>
        <w:br w:type="column"/>
      </w:r>
      <w:r>
        <w:rPr>
          <w:b/>
          <w:sz w:val="50"/>
        </w:rPr>
        <w:t>Thinking about eating patterns</w:t>
      </w:r>
    </w:p>
    <w:p>
      <w:pPr>
        <w:spacing w:before="104"/>
        <w:ind w:left="297" w:right="1460" w:firstLine="0"/>
        <w:jc w:val="left"/>
        <w:rPr>
          <w:sz w:val="18"/>
        </w:rPr>
      </w:pPr>
      <w:r>
        <w:rPr>
          <w:sz w:val="18"/>
        </w:rPr>
        <w:t>Some of the problems around food and eating</w:t>
      </w:r>
    </w:p>
    <w:p>
      <w:pPr>
        <w:spacing w:after="0"/>
        <w:jc w:val="left"/>
        <w:rPr>
          <w:sz w:val="18"/>
        </w:rPr>
        <w:sectPr>
          <w:type w:val="continuous"/>
          <w:pgSz w:w="16840" w:h="11910" w:orient="landscape"/>
          <w:pgMar w:top="0" w:bottom="0" w:left="0" w:right="460"/>
          <w:cols w:num="2" w:equalWidth="0">
            <w:col w:w="4101" w:space="7368"/>
            <w:col w:w="4911"/>
          </w:cols>
        </w:sectPr>
      </w:pPr>
    </w:p>
    <w:p>
      <w:pPr>
        <w:pStyle w:val="Heading2"/>
        <w:spacing w:before="122"/>
      </w:pPr>
      <w:r>
        <w:rPr/>
        <w:pict>
          <v:group style="position:absolute;margin-left:0pt;margin-top:-.100017pt;width:561.5pt;height:595.5pt;mso-position-horizontal-relative:page;mso-position-vertical-relative:page;z-index:-6400" coordorigin="0,-2" coordsize="11230,11910">
            <v:shape style="position:absolute;left:0;top:5;width:5594;height:11900" type="#_x0000_t75" stroked="false">
              <v:imagedata r:id="rId11" o:title=""/>
            </v:shape>
            <v:shape style="position:absolute;left:4685;top:40;width:946;height:11868" type="#_x0000_t75" stroked="false">
              <v:imagedata r:id="rId12" o:title=""/>
            </v:shape>
            <v:line style="position:absolute" from="11218,42" to="11218,11906" stroked="true" strokeweight=".2pt" strokecolor="#000000">
              <v:stroke dashstyle="solid"/>
            </v:line>
            <v:shape style="position:absolute;left:5623;top:3;width:5593;height:11902" type="#_x0000_t75" stroked="false">
              <v:imagedata r:id="rId13" o:title=""/>
            </v:shape>
            <v:line style="position:absolute" from="5615,0" to="5615,11906" stroked="true" strokeweight=".2pt" strokecolor="#000000">
              <v:stroke dashstyle="solid"/>
            </v:line>
            <v:line style="position:absolute" from="11227,0" to="11227,11906" stroked="true" strokeweight=".2pt" strokecolor="#000000">
              <v:stroke dashstyle="solid"/>
            </v:line>
            <w10:wrap type="none"/>
          </v:group>
        </w:pict>
      </w:r>
      <w:r>
        <w:rPr/>
        <w:drawing>
          <wp:anchor distT="0" distB="0" distL="0" distR="0" allowOverlap="1" layoutInCell="1" locked="0" behindDoc="0" simplePos="0" relativeHeight="1096">
            <wp:simplePos x="0" y="0"/>
            <wp:positionH relativeFrom="page">
              <wp:posOffset>7423656</wp:posOffset>
            </wp:positionH>
            <wp:positionV relativeFrom="paragraph">
              <wp:posOffset>-234572</wp:posOffset>
            </wp:positionV>
            <wp:extent cx="2907574" cy="2907574"/>
            <wp:effectExtent l="0" t="0" r="0" b="0"/>
            <wp:wrapNone/>
            <wp:docPr id="1" name="image10.png" descr=""/>
            <wp:cNvGraphicFramePr>
              <a:graphicFrameLocks noChangeAspect="1"/>
            </wp:cNvGraphicFramePr>
            <a:graphic>
              <a:graphicData uri="http://schemas.openxmlformats.org/drawingml/2006/picture">
                <pic:pic>
                  <pic:nvPicPr>
                    <pic:cNvPr id="2" name="image10.png"/>
                    <pic:cNvPicPr/>
                  </pic:nvPicPr>
                  <pic:blipFill>
                    <a:blip r:embed="rId14" cstate="print"/>
                    <a:stretch>
                      <a:fillRect/>
                    </a:stretch>
                  </pic:blipFill>
                  <pic:spPr>
                    <a:xfrm>
                      <a:off x="0" y="0"/>
                      <a:ext cx="2907574" cy="290757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1.300171pt;margin-top:-207.397751pt;width:43.05pt;height:486.6pt;mso-position-horizontal-relative:page;mso-position-vertical-relative:paragraph;z-index:1120" type="#_x0000_t202" filled="false" stroked="false">
            <v:textbox inset="0,0,0,0" style="layout-flow:vertical">
              <w:txbxContent>
                <w:p>
                  <w:pPr>
                    <w:spacing w:before="4"/>
                    <w:ind w:left="20" w:right="-1933" w:firstLine="0"/>
                    <w:jc w:val="left"/>
                    <w:rPr>
                      <w:b/>
                      <w:sz w:val="70"/>
                    </w:rPr>
                  </w:pPr>
                  <w:r>
                    <w:rPr>
                      <w:b/>
                      <w:sz w:val="70"/>
                    </w:rPr>
                    <w:t>Thinking </w:t>
                  </w:r>
                  <w:r>
                    <w:rPr>
                      <w:b/>
                      <w:spacing w:val="-1"/>
                      <w:sz w:val="70"/>
                    </w:rPr>
                    <w:t>abou</w:t>
                  </w:r>
                  <w:r>
                    <w:rPr>
                      <w:b/>
                      <w:sz w:val="70"/>
                    </w:rPr>
                    <w:t>t</w:t>
                  </w:r>
                  <w:r>
                    <w:rPr>
                      <w:b/>
                      <w:spacing w:val="-1"/>
                      <w:sz w:val="70"/>
                    </w:rPr>
                    <w:t> </w:t>
                  </w:r>
                  <w:r>
                    <w:rPr>
                      <w:b/>
                      <w:sz w:val="70"/>
                    </w:rPr>
                    <w:t>eating patte</w:t>
                  </w:r>
                  <w:r>
                    <w:rPr>
                      <w:b/>
                      <w:spacing w:val="18"/>
                      <w:sz w:val="70"/>
                    </w:rPr>
                    <w:t>r</w:t>
                  </w:r>
                  <w:r>
                    <w:rPr>
                      <w:b/>
                      <w:spacing w:val="-1"/>
                      <w:sz w:val="70"/>
                    </w:rPr>
                    <w:t>ns</w:t>
                  </w:r>
                </w:p>
              </w:txbxContent>
            </v:textbox>
            <w10:wrap type="none"/>
          </v:shape>
        </w:pict>
      </w:r>
      <w:r>
        <w:rPr>
          <w:color w:val="FFFFFF"/>
        </w:rPr>
        <w:t>Counselling can:</w:t>
      </w:r>
    </w:p>
    <w:p>
      <w:pPr>
        <w:pStyle w:val="ListParagraph"/>
        <w:numPr>
          <w:ilvl w:val="0"/>
          <w:numId w:val="1"/>
        </w:numPr>
        <w:tabs>
          <w:tab w:pos="499" w:val="left" w:leader="none"/>
          <w:tab w:pos="500" w:val="left" w:leader="none"/>
        </w:tabs>
        <w:spacing w:line="240" w:lineRule="auto" w:before="124" w:after="0"/>
        <w:ind w:left="499" w:right="0" w:hanging="283"/>
        <w:jc w:val="left"/>
        <w:rPr>
          <w:sz w:val="16"/>
        </w:rPr>
      </w:pP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499" w:val="left" w:leader="none"/>
          <w:tab w:pos="500" w:val="left" w:leader="none"/>
        </w:tabs>
        <w:spacing w:line="228" w:lineRule="auto" w:before="9" w:after="0"/>
        <w:ind w:left="499" w:right="12427" w:hanging="283"/>
        <w:jc w:val="left"/>
        <w:rPr>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499" w:val="left" w:leader="none"/>
          <w:tab w:pos="500" w:val="left" w:leader="none"/>
        </w:tabs>
        <w:spacing w:line="240" w:lineRule="auto" w:before="0" w:after="0"/>
        <w:ind w:left="499" w:right="0" w:hanging="283"/>
        <w:jc w:val="left"/>
        <w:rPr>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499" w:val="left" w:leader="none"/>
          <w:tab w:pos="500" w:val="left" w:leader="none"/>
        </w:tabs>
        <w:spacing w:line="240" w:lineRule="auto" w:before="0" w:after="0"/>
        <w:ind w:left="499" w:right="0" w:hanging="283"/>
        <w:jc w:val="left"/>
        <w:rPr>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499" w:val="left" w:leader="none"/>
          <w:tab w:pos="500" w:val="left" w:leader="none"/>
        </w:tabs>
        <w:spacing w:line="240" w:lineRule="auto" w:before="0" w:after="0"/>
        <w:ind w:left="499" w:right="0" w:hanging="283"/>
        <w:jc w:val="left"/>
        <w:rPr>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1"/>
        <w:spacing w:before="112"/>
        <w:ind w:left="189"/>
      </w:pPr>
      <w:r>
        <w:rPr>
          <w:color w:val="FFFFFF"/>
        </w:rPr>
        <w:t>Get in touch</w:t>
      </w:r>
    </w:p>
    <w:p>
      <w:pPr>
        <w:pStyle w:val="BodyText"/>
        <w:spacing w:line="228" w:lineRule="auto" w:before="60"/>
        <w:ind w:left="180" w:right="11744"/>
      </w:pPr>
      <w:r>
        <w:rPr>
          <w:color w:val="FFFFFF"/>
        </w:rPr>
        <w:t>You can make an appointment to see a counsellor by filling out the Contact Us form at </w:t>
      </w:r>
      <w:hyperlink r:id="rId15">
        <w:r>
          <w:rPr>
            <w:color w:val="FFFFFF"/>
          </w:rPr>
          <w:t>www.wlv.ac.uk/SSW, </w:t>
        </w:r>
      </w:hyperlink>
      <w:r>
        <w:rPr>
          <w:color w:val="FFFFFF"/>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17"/>
        </w:rPr>
      </w:pPr>
    </w:p>
    <w:p>
      <w:pPr>
        <w:spacing w:before="0"/>
        <w:ind w:left="0" w:right="529"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60"/>
        </w:sectPr>
      </w:pPr>
    </w:p>
    <w:p>
      <w:pPr>
        <w:pStyle w:val="Heading1"/>
        <w:spacing w:before="78"/>
      </w:pPr>
      <w:r>
        <w:rPr/>
        <w:pict>
          <v:group style="position:absolute;margin-left:1.174942pt;margin-top:0pt;width:840.75pt;height:595.3pt;mso-position-horizontal-relative:page;mso-position-vertical-relative:page;z-index:-6328" coordorigin="23,0" coordsize="16815,11906">
            <v:shape style="position:absolute;left:23;top:0;width:16815;height:11861" type="#_x0000_t75" stroked="false">
              <v:imagedata r:id="rId16" o:title=""/>
            </v:shape>
            <v:shape style="position:absolute;left:23;top:0;width:5600;height:11835" type="#_x0000_t75" stroked="false">
              <v:imagedata r:id="rId17" o:title=""/>
            </v:shape>
            <v:shape style="position:absolute;left:11192;top:0;width:5631;height:11835" type="#_x0000_t75" stroked="false">
              <v:imagedata r:id="rId18" o:title=""/>
            </v:shape>
            <v:rect style="position:absolute;left:6297;top:680;width:4366;height:9752" filled="true" fillcolor="#ffffff" stroked="false">
              <v:fill type="solid"/>
            </v:rect>
            <v:shape style="position:absolute;left:4822;top:10532;width:8334;height:1374" type="#_x0000_t75" stroked="false">
              <v:imagedata r:id="rId19" o:title=""/>
            </v:shape>
            <v:shape style="position:absolute;left:364;top:10532;width:4969;height:1374" type="#_x0000_t75" stroked="false">
              <v:imagedata r:id="rId20" o:title=""/>
            </v:shape>
            <v:shape style="position:absolute;left:13156;top:10532;width:3682;height:1374" type="#_x0000_t75" stroked="false">
              <v:imagedata r:id="rId21" o:title=""/>
            </v:shape>
            <w10:wrap type="none"/>
          </v:group>
        </w:pict>
      </w:r>
      <w:r>
        <w:rPr>
          <w:color w:val="FFFFFF"/>
        </w:rPr>
        <w:t>Introduction</w:t>
      </w:r>
    </w:p>
    <w:p>
      <w:pPr>
        <w:pStyle w:val="BodyText"/>
        <w:spacing w:before="2"/>
        <w:ind w:left="113"/>
      </w:pPr>
      <w:r>
        <w:rPr>
          <w:color w:val="FFFFFF"/>
        </w:rPr>
        <w:t>From time to time, people may experience changes in their eating patterns. This may occur for a number of reasons such as periods of stress, an illness or taking medication which may affect your appetite. For most people their eating will return to normal after a short period of time. However, for some people, including both women and men, eating disorders are coping mechanisms used to deal with deeper rooted problems over a longer period of time.</w:t>
      </w:r>
    </w:p>
    <w:p>
      <w:pPr>
        <w:pStyle w:val="BodyText"/>
        <w:spacing w:before="113"/>
        <w:ind w:left="113"/>
      </w:pPr>
      <w:r>
        <w:rPr>
          <w:color w:val="FFFFFF"/>
        </w:rPr>
        <w:t>Problems with food can range from not eating, to overeating or binge eating – as ways of coping with anxiety, stress, boredom, control issues, loneliness, guilt, an emotional void, low self esteem, etc.. Eating difficulties,therefore, can sometimes be the actual manifestation</w:t>
      </w:r>
    </w:p>
    <w:p>
      <w:pPr>
        <w:pStyle w:val="BodyText"/>
        <w:ind w:left="113" w:right="516"/>
      </w:pPr>
      <w:r>
        <w:rPr>
          <w:color w:val="FFFFFF"/>
        </w:rPr>
        <w:t>of some very difficult to express and/or traumatic experiences, and </w:t>
      </w:r>
      <w:r>
        <w:rPr>
          <w:color w:val="FFFFFF"/>
          <w:spacing w:val="-1"/>
        </w:rPr>
        <w:t>mus</w:t>
      </w:r>
      <w:r>
        <w:rPr>
          <w:color w:val="FFFFFF"/>
        </w:rPr>
        <w:t>t</w:t>
      </w:r>
      <w:r>
        <w:rPr>
          <w:color w:val="FFFFFF"/>
          <w:spacing w:val="-1"/>
        </w:rPr>
        <w:t> b</w:t>
      </w:r>
      <w:r>
        <w:rPr>
          <w:color w:val="FFFFFF"/>
        </w:rPr>
        <w:t>e taken </w:t>
      </w:r>
      <w:r>
        <w:rPr>
          <w:color w:val="FFFFFF"/>
          <w:spacing w:val="-1"/>
        </w:rPr>
        <w:t>ver</w:t>
      </w:r>
      <w:r>
        <w:rPr>
          <w:color w:val="FFFFFF"/>
        </w:rPr>
        <w:t>y seriousl</w:t>
      </w:r>
      <w:r>
        <w:rPr>
          <w:color w:val="FFFFFF"/>
          <w:spacing w:val="-69"/>
        </w:rPr>
        <w:t>y</w:t>
      </w:r>
      <w:r>
        <w:rPr>
          <w:color w:val="FFFFFF"/>
        </w:rPr>
        <w:t>.</w:t>
      </w:r>
    </w:p>
    <w:p>
      <w:pPr>
        <w:pStyle w:val="BodyText"/>
        <w:spacing w:before="114"/>
        <w:ind w:left="113"/>
      </w:pPr>
      <w:r>
        <w:rPr>
          <w:color w:val="FFFFFF"/>
          <w:spacing w:val="-4"/>
        </w:rPr>
        <w:t>Initially, </w:t>
      </w:r>
      <w:r>
        <w:rPr>
          <w:color w:val="FFFFFF"/>
        </w:rPr>
        <w:t>eating disorders are the symptom of a problem.  If the unhealthy eating behaviour continues, this can become a problem in itself and may take some time to resolve. There are a number of ways that different</w:t>
      </w:r>
      <w:r>
        <w:rPr>
          <w:color w:val="FFFFFF"/>
          <w:spacing w:val="-19"/>
        </w:rPr>
        <w:t> </w:t>
      </w:r>
      <w:r>
        <w:rPr>
          <w:color w:val="FFFFFF"/>
        </w:rPr>
        <w:t>people experience eating problems and these usually fall into the following</w:t>
      </w:r>
      <w:r>
        <w:rPr>
          <w:color w:val="FFFFFF"/>
          <w:spacing w:val="-19"/>
        </w:rPr>
        <w:t> </w:t>
      </w:r>
      <w:r>
        <w:rPr>
          <w:color w:val="FFFFFF"/>
        </w:rPr>
        <w:t>categories:</w:t>
      </w:r>
    </w:p>
    <w:p>
      <w:pPr>
        <w:pStyle w:val="BodyText"/>
        <w:spacing w:before="5"/>
        <w:rPr>
          <w:sz w:val="18"/>
        </w:rPr>
      </w:pPr>
    </w:p>
    <w:p>
      <w:pPr>
        <w:pStyle w:val="Heading1"/>
      </w:pPr>
      <w:r>
        <w:rPr>
          <w:color w:val="FFFFFF"/>
        </w:rPr>
        <w:t>Anorexia</w:t>
      </w:r>
    </w:p>
    <w:p>
      <w:pPr>
        <w:pStyle w:val="BodyText"/>
        <w:spacing w:before="2"/>
        <w:ind w:left="113" w:right="13"/>
      </w:pPr>
      <w:r>
        <w:rPr>
          <w:color w:val="FFFFFF"/>
        </w:rPr>
        <w:t>Individuals experiencing anorexia will see themselves as being larger than they actually are. Many of their thoughts are about weight control and the person usually has an intense fear of weight gain and will often exercise more than they need to in order to burn calories. They may use laxatives and vomiting to help control their weight and they may weigh less than is considered to be healthy by the medical profession.</w:t>
      </w:r>
    </w:p>
    <w:p>
      <w:pPr>
        <w:pStyle w:val="BodyText"/>
        <w:spacing w:before="5"/>
        <w:rPr>
          <w:sz w:val="18"/>
        </w:rPr>
      </w:pPr>
    </w:p>
    <w:p>
      <w:pPr>
        <w:pStyle w:val="Heading1"/>
      </w:pPr>
      <w:r>
        <w:rPr>
          <w:color w:val="FFFFFF"/>
        </w:rPr>
        <w:t>Bulimia</w:t>
      </w:r>
    </w:p>
    <w:p>
      <w:pPr>
        <w:pStyle w:val="BodyText"/>
        <w:spacing w:before="2"/>
        <w:ind w:left="113" w:right="-7"/>
      </w:pPr>
      <w:r>
        <w:rPr>
          <w:color w:val="FFFFFF"/>
        </w:rPr>
        <w:t>People experiencing bulimia tend to alternate between severe weight control and binge eating (over eating when not hungry). Fasting (not eating for extended periods of time) and purging (making yourself vomit) can be part of this process. The use of laxatives and diuretics are also common factors.</w:t>
      </w:r>
    </w:p>
    <w:p>
      <w:pPr>
        <w:pStyle w:val="Heading1"/>
        <w:spacing w:before="78"/>
      </w:pPr>
      <w:r>
        <w:rPr>
          <w:b w:val="0"/>
        </w:rPr>
        <w:br w:type="column"/>
      </w:r>
      <w:r>
        <w:rPr>
          <w:color w:val="1268B3"/>
        </w:rPr>
        <w:t>Binge eating</w:t>
      </w:r>
    </w:p>
    <w:p>
      <w:pPr>
        <w:pStyle w:val="BodyText"/>
        <w:spacing w:line="237" w:lineRule="auto" w:before="2"/>
        <w:ind w:left="113" w:right="217"/>
      </w:pPr>
      <w:r>
        <w:rPr>
          <w:color w:val="1268B3"/>
        </w:rPr>
        <w:t>People who binge eat do not tend to purge, fast or over- exercise. Rather, they will eat alone and eat to excess, even if they do not feel hungry, and sometimes, until they are uncomfortably full.</w:t>
      </w:r>
    </w:p>
    <w:p>
      <w:pPr>
        <w:pStyle w:val="BodyText"/>
        <w:spacing w:before="4"/>
      </w:pPr>
    </w:p>
    <w:p>
      <w:pPr>
        <w:pStyle w:val="Heading1"/>
        <w:spacing w:before="1"/>
      </w:pPr>
      <w:r>
        <w:rPr>
          <w:color w:val="1268B3"/>
        </w:rPr>
        <w:t>Compulsive eating</w:t>
      </w:r>
    </w:p>
    <w:p>
      <w:pPr>
        <w:pStyle w:val="BodyText"/>
        <w:spacing w:line="237" w:lineRule="auto" w:before="3"/>
        <w:ind w:left="113" w:right="157"/>
      </w:pPr>
      <w:r>
        <w:rPr>
          <w:color w:val="1268B3"/>
        </w:rPr>
        <w:t>This problem is similar to bulimia. Individuals can maintain a normal body weight which is achieved by having ‘binge-free’ periods in order to keep weight down. Individuals who eat compulsively may also snack throughout the day.</w:t>
      </w:r>
    </w:p>
    <w:p>
      <w:pPr>
        <w:pStyle w:val="BodyText"/>
        <w:spacing w:before="5"/>
        <w:rPr>
          <w:sz w:val="18"/>
        </w:rPr>
      </w:pPr>
    </w:p>
    <w:p>
      <w:pPr>
        <w:pStyle w:val="Heading1"/>
      </w:pPr>
      <w:r>
        <w:rPr>
          <w:color w:val="1268B3"/>
        </w:rPr>
        <w:t>If you are experiencing eating problems</w:t>
      </w:r>
    </w:p>
    <w:p>
      <w:pPr>
        <w:pStyle w:val="BodyText"/>
        <w:spacing w:line="237" w:lineRule="auto" w:before="3"/>
        <w:ind w:left="113" w:right="91"/>
      </w:pPr>
      <w:r>
        <w:rPr>
          <w:color w:val="1268B3"/>
        </w:rPr>
        <w:t>You may be experiencing mixed feelings about your eating problem. These feelings may include embarrassment, shame, guilt, anxiety or fear that you will lose control over your life if you seek help.</w:t>
      </w:r>
    </w:p>
    <w:p>
      <w:pPr>
        <w:pStyle w:val="BodyText"/>
        <w:spacing w:before="113"/>
        <w:ind w:left="113" w:right="112"/>
      </w:pPr>
      <w:r>
        <w:rPr>
          <w:color w:val="1268B3"/>
        </w:rPr>
        <w:t>If you have concerns about your eating habits then it is important that you seek support, such as counselling through the University Counselling Service, where you will have the opportunity to discuss your concerns in a supportive and understanding environment. It is important to seek medical advice from your Doctor. Maybe ask someone you trust to support you in doing this.</w:t>
      </w:r>
    </w:p>
    <w:p>
      <w:pPr>
        <w:pStyle w:val="BodyText"/>
        <w:spacing w:before="113"/>
        <w:ind w:left="113" w:right="217"/>
      </w:pPr>
      <w:r>
        <w:rPr>
          <w:color w:val="1268B3"/>
        </w:rPr>
        <w:t>You may find it useful to keep a diary of your eating habits as this will help in your treatment and provide you with an</w:t>
      </w:r>
    </w:p>
    <w:p>
      <w:pPr>
        <w:pStyle w:val="BodyText"/>
        <w:ind w:left="113" w:right="16"/>
      </w:pPr>
      <w:r>
        <w:rPr>
          <w:color w:val="1268B3"/>
        </w:rPr>
        <w:t>opportunity to notice patterns in your eating habits. </w:t>
      </w:r>
      <w:r>
        <w:rPr>
          <w:color w:val="1268B3"/>
          <w:spacing w:val="-4"/>
        </w:rPr>
        <w:t>Remembe,r </w:t>
      </w:r>
      <w:r>
        <w:rPr>
          <w:color w:val="1268B3"/>
        </w:rPr>
        <w:t>that an eating </w:t>
      </w:r>
      <w:r>
        <w:rPr>
          <w:color w:val="1268B3"/>
          <w:spacing w:val="-5"/>
        </w:rPr>
        <w:t>disorder, </w:t>
      </w:r>
      <w:r>
        <w:rPr>
          <w:color w:val="1268B3"/>
        </w:rPr>
        <w:t>if left untreated, could result in a number of serious health issues.</w:t>
      </w:r>
    </w:p>
    <w:p>
      <w:pPr>
        <w:pStyle w:val="BodyText"/>
        <w:spacing w:before="5"/>
      </w:pPr>
    </w:p>
    <w:p>
      <w:pPr>
        <w:pStyle w:val="Heading1"/>
        <w:ind w:right="625"/>
      </w:pPr>
      <w:r>
        <w:rPr>
          <w:color w:val="1268B3"/>
        </w:rPr>
        <w:t>If you know someone who may be experiencing problems with eating</w:t>
      </w:r>
    </w:p>
    <w:p>
      <w:pPr>
        <w:pStyle w:val="BodyText"/>
        <w:spacing w:before="2"/>
        <w:ind w:left="113" w:right="-18"/>
      </w:pPr>
      <w:r>
        <w:rPr>
          <w:color w:val="1268B3"/>
        </w:rPr>
        <w:t>If you are worried about someone you know, talk to them about your concerns </w:t>
      </w:r>
      <w:r>
        <w:rPr>
          <w:color w:val="1268B3"/>
          <w:spacing w:val="-4"/>
        </w:rPr>
        <w:t>tactfully. </w:t>
      </w:r>
      <w:r>
        <w:rPr>
          <w:color w:val="1268B3"/>
        </w:rPr>
        <w:t>Done in a caring and honest </w:t>
      </w:r>
      <w:r>
        <w:rPr>
          <w:color w:val="1268B3"/>
          <w:spacing w:val="-14"/>
        </w:rPr>
        <w:t>way, </w:t>
      </w:r>
      <w:r>
        <w:rPr>
          <w:color w:val="1268B3"/>
        </w:rPr>
        <w:t>your </w:t>
      </w:r>
      <w:r>
        <w:rPr>
          <w:color w:val="1268B3"/>
          <w:spacing w:val="-1"/>
        </w:rPr>
        <w:t>relationshi</w:t>
      </w:r>
      <w:r>
        <w:rPr>
          <w:color w:val="1268B3"/>
        </w:rPr>
        <w:t>p is </w:t>
      </w:r>
      <w:r>
        <w:rPr>
          <w:color w:val="1268B3"/>
          <w:spacing w:val="-1"/>
        </w:rPr>
        <w:t>unlikel</w:t>
      </w:r>
      <w:r>
        <w:rPr>
          <w:color w:val="1268B3"/>
        </w:rPr>
        <w:t>y to </w:t>
      </w:r>
      <w:r>
        <w:rPr>
          <w:color w:val="1268B3"/>
          <w:spacing w:val="-1"/>
        </w:rPr>
        <w:t>b</w:t>
      </w:r>
      <w:r>
        <w:rPr>
          <w:color w:val="1268B3"/>
        </w:rPr>
        <w:t>e affected. </w:t>
      </w:r>
      <w:r>
        <w:rPr>
          <w:color w:val="1268B3"/>
          <w:spacing w:val="-82"/>
        </w:rPr>
        <w:t>Y</w:t>
      </w:r>
      <w:r>
        <w:rPr>
          <w:color w:val="1268B3"/>
          <w:spacing w:val="-1"/>
        </w:rPr>
        <w:t>o</w:t>
      </w:r>
      <w:r>
        <w:rPr>
          <w:color w:val="1268B3"/>
        </w:rPr>
        <w:t>u</w:t>
      </w:r>
      <w:r>
        <w:rPr>
          <w:color w:val="1268B3"/>
          <w:spacing w:val="-1"/>
        </w:rPr>
        <w:t> ma</w:t>
      </w:r>
      <w:r>
        <w:rPr>
          <w:color w:val="1268B3"/>
        </w:rPr>
        <w:t>y</w:t>
      </w:r>
      <w:r>
        <w:rPr>
          <w:color w:val="1268B3"/>
          <w:spacing w:val="-1"/>
        </w:rPr>
        <w:t> b</w:t>
      </w:r>
      <w:r>
        <w:rPr>
          <w:color w:val="1268B3"/>
        </w:rPr>
        <w:t>e </w:t>
      </w:r>
      <w:r>
        <w:rPr>
          <w:color w:val="1268B3"/>
          <w:spacing w:val="-1"/>
        </w:rPr>
        <w:t>willin</w:t>
      </w:r>
      <w:r>
        <w:rPr>
          <w:color w:val="1268B3"/>
        </w:rPr>
        <w:t>g to</w:t>
      </w:r>
    </w:p>
    <w:p>
      <w:pPr>
        <w:pStyle w:val="BodyText"/>
        <w:ind w:left="113"/>
      </w:pPr>
      <w:r>
        <w:rPr>
          <w:color w:val="1268B3"/>
        </w:rPr>
        <w:t>help them access appropriate support, either through the University Counselling Service or their own </w:t>
      </w:r>
      <w:r>
        <w:rPr>
          <w:color w:val="1268B3"/>
          <w:spacing w:val="-5"/>
        </w:rPr>
        <w:t>Docto.rAlternatively, </w:t>
      </w:r>
      <w:r>
        <w:rPr>
          <w:color w:val="1268B3"/>
        </w:rPr>
        <w:t>you could direct them to one of the useful contacts listed overleaf.</w:t>
      </w:r>
    </w:p>
    <w:p>
      <w:pPr>
        <w:pStyle w:val="BodyText"/>
        <w:spacing w:line="228" w:lineRule="auto" w:before="124"/>
        <w:ind w:left="113"/>
      </w:pPr>
      <w:r>
        <w:rPr>
          <w:color w:val="1268B3"/>
        </w:rPr>
        <w:t>Remember, try not to take on too much. Looking after yourself is important too.</w:t>
      </w:r>
    </w:p>
    <w:p>
      <w:pPr>
        <w:pStyle w:val="Heading1"/>
        <w:spacing w:line="215" w:lineRule="exact" w:before="78"/>
      </w:pPr>
      <w:r>
        <w:rPr>
          <w:b w:val="0"/>
        </w:rPr>
        <w:br w:type="column"/>
      </w:r>
      <w:r>
        <w:rPr>
          <w:color w:val="FFFFFF"/>
        </w:rPr>
        <w:t>You might like to read:</w:t>
      </w:r>
    </w:p>
    <w:p>
      <w:pPr>
        <w:spacing w:line="235" w:lineRule="auto" w:before="2"/>
        <w:ind w:left="113" w:right="0" w:firstLine="0"/>
        <w:jc w:val="left"/>
        <w:rPr>
          <w:sz w:val="16"/>
        </w:rPr>
      </w:pPr>
      <w:r>
        <w:rPr>
          <w:color w:val="FFFFFF"/>
          <w:sz w:val="16"/>
        </w:rPr>
        <w:t>Freeman, C. (2009) </w:t>
      </w:r>
      <w:r>
        <w:rPr>
          <w:i/>
          <w:color w:val="FFFFFF"/>
          <w:sz w:val="16"/>
        </w:rPr>
        <w:t>Overcoming Anorexia Nervosa. </w:t>
      </w:r>
      <w:r>
        <w:rPr>
          <w:color w:val="FFFFFF"/>
          <w:sz w:val="16"/>
        </w:rPr>
        <w:t>London: Constable and Robinson Ltd.</w:t>
      </w:r>
    </w:p>
    <w:p>
      <w:pPr>
        <w:spacing w:before="112"/>
        <w:ind w:left="113" w:right="68" w:firstLine="0"/>
        <w:jc w:val="left"/>
        <w:rPr>
          <w:sz w:val="16"/>
        </w:rPr>
      </w:pPr>
      <w:r>
        <w:rPr>
          <w:color w:val="FFFFFF"/>
          <w:sz w:val="16"/>
        </w:rPr>
        <w:t>Cooper, P. (2009) </w:t>
      </w:r>
      <w:r>
        <w:rPr>
          <w:i/>
          <w:color w:val="FFFFFF"/>
          <w:sz w:val="16"/>
        </w:rPr>
        <w:t>Overcoming Anorexia Nervosa and Binge- </w:t>
      </w:r>
      <w:r>
        <w:rPr>
          <w:i/>
          <w:color w:val="FFFFFF"/>
          <w:sz w:val="16"/>
        </w:rPr>
        <w:t>Eating. </w:t>
      </w:r>
      <w:r>
        <w:rPr>
          <w:color w:val="FFFFFF"/>
          <w:sz w:val="16"/>
        </w:rPr>
        <w:t>London: Constable and Robinson Ltd.</w:t>
      </w:r>
    </w:p>
    <w:p>
      <w:pPr>
        <w:pStyle w:val="BodyText"/>
        <w:rPr>
          <w:sz w:val="18"/>
        </w:rPr>
      </w:pPr>
    </w:p>
    <w:p>
      <w:pPr>
        <w:pStyle w:val="BodyText"/>
        <w:spacing w:before="5"/>
        <w:rPr>
          <w:sz w:val="14"/>
        </w:rPr>
      </w:pPr>
    </w:p>
    <w:p>
      <w:pPr>
        <w:pStyle w:val="Heading1"/>
        <w:spacing w:before="1"/>
      </w:pPr>
      <w:r>
        <w:rPr>
          <w:color w:val="FFFFFF"/>
        </w:rPr>
        <w:t>People you may want to contact:</w:t>
      </w:r>
    </w:p>
    <w:p>
      <w:pPr>
        <w:pStyle w:val="ListParagraph"/>
        <w:numPr>
          <w:ilvl w:val="0"/>
          <w:numId w:val="2"/>
        </w:numPr>
        <w:tabs>
          <w:tab w:pos="397" w:val="left" w:leader="none"/>
          <w:tab w:pos="398" w:val="left" w:leader="none"/>
        </w:tabs>
        <w:spacing w:line="240" w:lineRule="auto" w:before="52" w:after="0"/>
        <w:ind w:left="397" w:right="0" w:hanging="284"/>
        <w:jc w:val="left"/>
        <w:rPr>
          <w:sz w:val="16"/>
        </w:rPr>
      </w:pPr>
      <w:r>
        <w:rPr>
          <w:color w:val="FFFFFF"/>
          <w:spacing w:val="-5"/>
          <w:sz w:val="16"/>
        </w:rPr>
        <w:t>Your</w:t>
      </w:r>
      <w:r>
        <w:rPr>
          <w:color w:val="FFFFFF"/>
          <w:spacing w:val="1"/>
          <w:sz w:val="16"/>
        </w:rPr>
        <w:t> </w:t>
      </w:r>
      <w:r>
        <w:rPr>
          <w:color w:val="FFFFFF"/>
          <w:sz w:val="16"/>
        </w:rPr>
        <w:t>doctor</w:t>
      </w:r>
    </w:p>
    <w:p>
      <w:pPr>
        <w:pStyle w:val="ListParagraph"/>
        <w:numPr>
          <w:ilvl w:val="0"/>
          <w:numId w:val="2"/>
        </w:numPr>
        <w:tabs>
          <w:tab w:pos="397" w:val="left" w:leader="none"/>
          <w:tab w:pos="398" w:val="left" w:leader="none"/>
        </w:tabs>
        <w:spacing w:line="240" w:lineRule="auto" w:before="56" w:after="0"/>
        <w:ind w:left="397" w:right="0" w:hanging="284"/>
        <w:jc w:val="left"/>
        <w:rPr>
          <w:b/>
          <w:sz w:val="16"/>
        </w:rPr>
      </w:pPr>
      <w:r>
        <w:rPr>
          <w:color w:val="FFFFFF"/>
          <w:sz w:val="16"/>
        </w:rPr>
        <w:t>NHS 111 – tel:</w:t>
      </w:r>
      <w:r>
        <w:rPr>
          <w:color w:val="FFFFFF"/>
          <w:spacing w:val="-22"/>
          <w:sz w:val="16"/>
        </w:rPr>
        <w:t> </w:t>
      </w:r>
      <w:r>
        <w:rPr>
          <w:b/>
          <w:color w:val="FFFFFF"/>
          <w:sz w:val="16"/>
        </w:rPr>
        <w:t>111</w:t>
      </w:r>
    </w:p>
    <w:p>
      <w:pPr>
        <w:pStyle w:val="ListParagraph"/>
        <w:numPr>
          <w:ilvl w:val="0"/>
          <w:numId w:val="2"/>
        </w:numPr>
        <w:tabs>
          <w:tab w:pos="397" w:val="left" w:leader="none"/>
          <w:tab w:pos="398" w:val="left" w:leader="none"/>
        </w:tabs>
        <w:spacing w:line="230" w:lineRule="auto" w:before="63" w:after="0"/>
        <w:ind w:left="397" w:right="208" w:hanging="284"/>
        <w:jc w:val="left"/>
        <w:rPr>
          <w:b/>
          <w:sz w:val="16"/>
        </w:rPr>
      </w:pPr>
      <w:r>
        <w:rPr>
          <w:color w:val="FFFFFF"/>
          <w:sz w:val="16"/>
        </w:rPr>
        <w:t>Beat, information and help on all aspects of eating disorders –visit:</w:t>
      </w:r>
      <w:hyperlink r:id="rId22">
        <w:r>
          <w:rPr>
            <w:b/>
            <w:color w:val="FFFFFF"/>
            <w:sz w:val="16"/>
          </w:rPr>
          <w:t>www.b-eat.co.uk</w:t>
        </w:r>
        <w:r>
          <w:rPr>
            <w:color w:val="FFFFFF"/>
            <w:sz w:val="16"/>
          </w:rPr>
          <w:t>, </w:t>
        </w:r>
      </w:hyperlink>
      <w:r>
        <w:rPr>
          <w:color w:val="FFFFFF"/>
          <w:sz w:val="16"/>
        </w:rPr>
        <w:t>tel:</w:t>
      </w:r>
      <w:r>
        <w:rPr>
          <w:color w:val="FFFFFF"/>
          <w:spacing w:val="-29"/>
          <w:sz w:val="16"/>
        </w:rPr>
        <w:t> </w:t>
      </w:r>
      <w:r>
        <w:rPr>
          <w:b/>
          <w:color w:val="FFFFFF"/>
          <w:sz w:val="16"/>
        </w:rPr>
        <w:t>0845 634 1414</w:t>
      </w:r>
    </w:p>
    <w:p>
      <w:pPr>
        <w:pStyle w:val="ListParagraph"/>
        <w:numPr>
          <w:ilvl w:val="0"/>
          <w:numId w:val="2"/>
        </w:numPr>
        <w:tabs>
          <w:tab w:pos="397" w:val="left" w:leader="none"/>
          <w:tab w:pos="398" w:val="left" w:leader="none"/>
        </w:tabs>
        <w:spacing w:line="230" w:lineRule="auto" w:before="63" w:after="0"/>
        <w:ind w:left="397" w:right="400" w:hanging="284"/>
        <w:jc w:val="left"/>
        <w:rPr>
          <w:b/>
          <w:sz w:val="16"/>
        </w:rPr>
      </w:pPr>
      <w:r>
        <w:rPr>
          <w:color w:val="FFFFFF"/>
          <w:sz w:val="16"/>
        </w:rPr>
        <w:t>British Dietetic Association – </w:t>
      </w:r>
      <w:r>
        <w:rPr>
          <w:color w:val="FFFFFF"/>
          <w:spacing w:val="-3"/>
          <w:sz w:val="16"/>
        </w:rPr>
        <w:t>tel:</w:t>
      </w:r>
      <w:r>
        <w:rPr>
          <w:b/>
          <w:color w:val="FFFFFF"/>
          <w:spacing w:val="-3"/>
          <w:sz w:val="16"/>
        </w:rPr>
        <w:t>0121 </w:t>
      </w:r>
      <w:r>
        <w:rPr>
          <w:b/>
          <w:color w:val="FFFFFF"/>
          <w:sz w:val="16"/>
        </w:rPr>
        <w:t>200 8080 </w:t>
      </w:r>
      <w:r>
        <w:rPr>
          <w:color w:val="FFFFFF"/>
          <w:sz w:val="16"/>
        </w:rPr>
        <w:t>or </w:t>
      </w:r>
      <w:r>
        <w:rPr>
          <w:color w:val="FFFFFF"/>
          <w:spacing w:val="-1"/>
          <w:sz w:val="16"/>
        </w:rPr>
        <w:t>visit:</w:t>
      </w:r>
      <w:r>
        <w:rPr>
          <w:color w:val="FFFFFF"/>
          <w:spacing w:val="-31"/>
          <w:sz w:val="16"/>
        </w:rPr>
        <w:t> </w:t>
      </w:r>
      <w:hyperlink r:id="rId23">
        <w:r>
          <w:rPr>
            <w:b/>
            <w:color w:val="FFFFFF"/>
            <w:sz w:val="16"/>
          </w:rPr>
          <w:t>www.bda.uk.com</w:t>
        </w:r>
      </w:hyperlink>
    </w:p>
    <w:p>
      <w:pPr>
        <w:pStyle w:val="ListParagraph"/>
        <w:numPr>
          <w:ilvl w:val="0"/>
          <w:numId w:val="2"/>
        </w:numPr>
        <w:tabs>
          <w:tab w:pos="397" w:val="left" w:leader="none"/>
          <w:tab w:pos="398" w:val="left" w:leader="none"/>
        </w:tabs>
        <w:spacing w:line="240" w:lineRule="auto" w:before="54" w:after="0"/>
        <w:ind w:left="397" w:right="486" w:hanging="284"/>
        <w:jc w:val="left"/>
        <w:rPr>
          <w:b/>
          <w:sz w:val="16"/>
        </w:rPr>
      </w:pPr>
      <w:r>
        <w:rPr>
          <w:color w:val="FFFFFF"/>
          <w:sz w:val="16"/>
        </w:rPr>
        <w:t>The Samaritans: 24 hour emotional support – tel: </w:t>
      </w:r>
      <w:r>
        <w:rPr>
          <w:b/>
          <w:color w:val="FFFFFF"/>
          <w:sz w:val="16"/>
        </w:rPr>
        <w:t>01902 426422 </w:t>
      </w:r>
      <w:r>
        <w:rPr>
          <w:color w:val="FFFFFF"/>
          <w:sz w:val="16"/>
        </w:rPr>
        <w:t>or tel: </w:t>
      </w:r>
      <w:r>
        <w:rPr>
          <w:b/>
          <w:color w:val="FFFFFF"/>
          <w:sz w:val="16"/>
        </w:rPr>
        <w:t>08457 90 90 90 </w:t>
      </w:r>
      <w:r>
        <w:rPr>
          <w:color w:val="FFFFFF"/>
          <w:sz w:val="16"/>
        </w:rPr>
        <w:t>or visit: </w:t>
      </w:r>
      <w:hyperlink r:id="rId24">
        <w:r>
          <w:rPr>
            <w:b/>
            <w:color w:val="FFFFFF"/>
            <w:sz w:val="16"/>
          </w:rPr>
          <w:t>www.samaritans.org.uk</w:t>
        </w:r>
      </w:hyperlink>
    </w:p>
    <w:p>
      <w:pPr>
        <w:pStyle w:val="BodyText"/>
        <w:rPr>
          <w:b/>
          <w:sz w:val="18"/>
        </w:rPr>
      </w:pPr>
    </w:p>
    <w:p>
      <w:pPr>
        <w:spacing w:line="242" w:lineRule="auto" w:before="140"/>
        <w:ind w:left="113" w:right="422" w:firstLine="0"/>
        <w:jc w:val="both"/>
        <w:rPr>
          <w:sz w:val="28"/>
        </w:rPr>
      </w:pPr>
      <w:r>
        <w:rPr>
          <w:color w:val="FFFFFF"/>
          <w:sz w:val="28"/>
        </w:rPr>
        <w:t>“Counselling </w:t>
      </w:r>
      <w:r>
        <w:rPr>
          <w:color w:val="FFFFFF"/>
          <w:spacing w:val="-12"/>
          <w:sz w:val="28"/>
        </w:rPr>
        <w:t>offered </w:t>
      </w:r>
      <w:r>
        <w:rPr>
          <w:color w:val="FFFFFF"/>
          <w:sz w:val="28"/>
        </w:rPr>
        <w:t>me a safe place </w:t>
      </w:r>
      <w:r>
        <w:rPr>
          <w:color w:val="FFFFFF"/>
          <w:spacing w:val="-8"/>
          <w:sz w:val="28"/>
        </w:rPr>
        <w:t>where </w:t>
      </w:r>
      <w:r>
        <w:rPr>
          <w:color w:val="FFFFFF"/>
          <w:sz w:val="28"/>
        </w:rPr>
        <w:t>I could think about and </w:t>
      </w:r>
      <w:r>
        <w:rPr>
          <w:color w:val="FFFFFF"/>
          <w:spacing w:val="-6"/>
          <w:sz w:val="28"/>
        </w:rPr>
        <w:t>explore </w:t>
      </w:r>
      <w:r>
        <w:rPr>
          <w:color w:val="FFFFFF"/>
          <w:sz w:val="28"/>
        </w:rPr>
        <w:t>things”</w:t>
      </w:r>
    </w:p>
    <w:p>
      <w:pPr>
        <w:pStyle w:val="Heading1"/>
        <w:spacing w:line="213" w:lineRule="exact" w:before="257"/>
      </w:pPr>
      <w:r>
        <w:rPr>
          <w:color w:val="FFFFFF"/>
        </w:rPr>
        <w:t>Other useful websites:</w:t>
      </w:r>
    </w:p>
    <w:p>
      <w:pPr>
        <w:pStyle w:val="BodyText"/>
        <w:spacing w:line="187" w:lineRule="exact"/>
        <w:ind w:left="113"/>
      </w:pPr>
      <w:r>
        <w:rPr>
          <w:color w:val="FFFFFF"/>
        </w:rPr>
        <w:t>The Royal College of Psychiatrists</w:t>
      </w:r>
    </w:p>
    <w:p>
      <w:pPr>
        <w:spacing w:line="166" w:lineRule="exact" w:before="0"/>
        <w:ind w:left="113" w:right="0" w:firstLine="0"/>
        <w:jc w:val="left"/>
        <w:rPr>
          <w:b/>
          <w:sz w:val="14"/>
        </w:rPr>
      </w:pPr>
      <w:hyperlink r:id="rId25">
        <w:r>
          <w:rPr>
            <w:b/>
            <w:color w:val="FFFFFF"/>
            <w:sz w:val="14"/>
          </w:rPr>
          <w:t>www.rcpsych.ac.uk/healthadvice/atozindex.aspx</w:t>
        </w:r>
      </w:hyperlink>
    </w:p>
    <w:p>
      <w:pPr>
        <w:pStyle w:val="BodyText"/>
        <w:spacing w:before="59"/>
        <w:ind w:left="113"/>
      </w:pPr>
      <w:r>
        <w:rPr>
          <w:color w:val="FFFFFF"/>
        </w:rPr>
        <w:t>Advice from Mind:</w:t>
      </w:r>
    </w:p>
    <w:p>
      <w:pPr>
        <w:spacing w:before="20"/>
        <w:ind w:left="113" w:right="0" w:firstLine="0"/>
        <w:jc w:val="left"/>
        <w:rPr>
          <w:b/>
          <w:sz w:val="14"/>
        </w:rPr>
      </w:pPr>
      <w:hyperlink r:id="rId26">
        <w:r>
          <w:rPr>
            <w:b/>
            <w:color w:val="FFFFFF"/>
            <w:sz w:val="14"/>
          </w:rPr>
          <w:t>www.mind.org.uk/information-support/mental-health-a-z/</w:t>
        </w:r>
      </w:hyperlink>
    </w:p>
    <w:p>
      <w:pPr>
        <w:pStyle w:val="BodyText"/>
        <w:spacing w:before="59"/>
        <w:ind w:left="113"/>
      </w:pPr>
      <w:r>
        <w:rPr>
          <w:color w:val="FFFFFF"/>
        </w:rPr>
        <w:t>Useful leaflets:</w:t>
      </w:r>
    </w:p>
    <w:p>
      <w:pPr>
        <w:spacing w:before="20"/>
        <w:ind w:left="113" w:right="0" w:firstLine="0"/>
        <w:jc w:val="left"/>
        <w:rPr>
          <w:b/>
          <w:sz w:val="14"/>
        </w:rPr>
      </w:pPr>
      <w:hyperlink r:id="rId27">
        <w:r>
          <w:rPr>
            <w:b/>
            <w:color w:val="FFFFFF"/>
            <w:sz w:val="14"/>
          </w:rPr>
          <w:t>www.ntw.nhs.uk/pic/selfhelp/</w:t>
        </w:r>
      </w:hyperlink>
    </w:p>
    <w:p>
      <w:pPr>
        <w:pStyle w:val="BodyText"/>
        <w:spacing w:before="59"/>
        <w:ind w:left="113"/>
      </w:pPr>
      <w:r>
        <w:rPr>
          <w:color w:val="FFFFFF"/>
        </w:rPr>
        <w:t>Health A-Z at:</w:t>
      </w:r>
    </w:p>
    <w:p>
      <w:pPr>
        <w:spacing w:before="21"/>
        <w:ind w:left="113" w:right="0" w:firstLine="0"/>
        <w:jc w:val="left"/>
        <w:rPr>
          <w:b/>
          <w:sz w:val="14"/>
        </w:rPr>
      </w:pPr>
      <w:hyperlink r:id="rId28">
        <w:r>
          <w:rPr>
            <w:b/>
            <w:color w:val="FFFFFF"/>
            <w:sz w:val="14"/>
          </w:rPr>
          <w:t>www.nhs.uk</w:t>
        </w:r>
      </w:hyperlink>
    </w:p>
    <w:p>
      <w:pPr>
        <w:spacing w:line="237" w:lineRule="auto" w:before="61"/>
        <w:ind w:left="113" w:right="1611" w:firstLine="0"/>
        <w:jc w:val="left"/>
        <w:rPr>
          <w:b/>
          <w:sz w:val="14"/>
        </w:rPr>
      </w:pPr>
      <w:r>
        <w:rPr>
          <w:color w:val="FFFFFF"/>
          <w:sz w:val="16"/>
        </w:rPr>
        <w:t>Free meditation exercises: </w:t>
      </w:r>
      <w:hyperlink r:id="rId29">
        <w:r>
          <w:rPr>
            <w:b/>
            <w:color w:val="FFFFFF"/>
            <w:sz w:val="14"/>
          </w:rPr>
          <w:t>http://franticworld.com/free-meditations-</w:t>
        </w:r>
      </w:hyperlink>
      <w:r>
        <w:rPr>
          <w:b/>
          <w:color w:val="FFFFFF"/>
          <w:sz w:val="14"/>
        </w:rPr>
        <w:t> from-mindfulness/</w:t>
      </w:r>
    </w:p>
    <w:sectPr>
      <w:pgSz w:w="16840" w:h="11910" w:orient="landscape"/>
      <w:pgMar w:top="560" w:bottom="280" w:left="1020" w:right="680"/>
      <w:cols w:num="3" w:equalWidth="0">
        <w:col w:w="4168" w:space="996"/>
        <w:col w:w="4581" w:space="1027"/>
        <w:col w:w="43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97" w:hanging="284"/>
      </w:pPr>
      <w:rPr>
        <w:rFonts w:hint="default" w:ascii="Arial" w:hAnsi="Arial" w:eastAsia="Arial" w:cs="Arial"/>
        <w:color w:val="FFFFFF"/>
        <w:w w:val="142"/>
        <w:sz w:val="16"/>
        <w:szCs w:val="16"/>
      </w:rPr>
    </w:lvl>
    <w:lvl w:ilvl="1">
      <w:start w:val="0"/>
      <w:numFmt w:val="bullet"/>
      <w:lvlText w:val="•"/>
      <w:lvlJc w:val="left"/>
      <w:pPr>
        <w:ind w:left="796" w:hanging="284"/>
      </w:pPr>
      <w:rPr>
        <w:rFonts w:hint="default"/>
      </w:rPr>
    </w:lvl>
    <w:lvl w:ilvl="2">
      <w:start w:val="0"/>
      <w:numFmt w:val="bullet"/>
      <w:lvlText w:val="•"/>
      <w:lvlJc w:val="left"/>
      <w:pPr>
        <w:ind w:left="1193" w:hanging="284"/>
      </w:pPr>
      <w:rPr>
        <w:rFonts w:hint="default"/>
      </w:rPr>
    </w:lvl>
    <w:lvl w:ilvl="3">
      <w:start w:val="0"/>
      <w:numFmt w:val="bullet"/>
      <w:lvlText w:val="•"/>
      <w:lvlJc w:val="left"/>
      <w:pPr>
        <w:ind w:left="1589" w:hanging="284"/>
      </w:pPr>
      <w:rPr>
        <w:rFonts w:hint="default"/>
      </w:rPr>
    </w:lvl>
    <w:lvl w:ilvl="4">
      <w:start w:val="0"/>
      <w:numFmt w:val="bullet"/>
      <w:lvlText w:val="•"/>
      <w:lvlJc w:val="left"/>
      <w:pPr>
        <w:ind w:left="1986" w:hanging="284"/>
      </w:pPr>
      <w:rPr>
        <w:rFonts w:hint="default"/>
      </w:rPr>
    </w:lvl>
    <w:lvl w:ilvl="5">
      <w:start w:val="0"/>
      <w:numFmt w:val="bullet"/>
      <w:lvlText w:val="•"/>
      <w:lvlJc w:val="left"/>
      <w:pPr>
        <w:ind w:left="2383" w:hanging="284"/>
      </w:pPr>
      <w:rPr>
        <w:rFonts w:hint="default"/>
      </w:rPr>
    </w:lvl>
    <w:lvl w:ilvl="6">
      <w:start w:val="0"/>
      <w:numFmt w:val="bullet"/>
      <w:lvlText w:val="•"/>
      <w:lvlJc w:val="left"/>
      <w:pPr>
        <w:ind w:left="2779" w:hanging="284"/>
      </w:pPr>
      <w:rPr>
        <w:rFonts w:hint="default"/>
      </w:rPr>
    </w:lvl>
    <w:lvl w:ilvl="7">
      <w:start w:val="0"/>
      <w:numFmt w:val="bullet"/>
      <w:lvlText w:val="•"/>
      <w:lvlJc w:val="left"/>
      <w:pPr>
        <w:ind w:left="3176" w:hanging="284"/>
      </w:pPr>
      <w:rPr>
        <w:rFonts w:hint="default"/>
      </w:rPr>
    </w:lvl>
    <w:lvl w:ilvl="8">
      <w:start w:val="0"/>
      <w:numFmt w:val="bullet"/>
      <w:lvlText w:val="•"/>
      <w:lvlJc w:val="left"/>
      <w:pPr>
        <w:ind w:left="3572" w:hanging="284"/>
      </w:pPr>
      <w:rPr>
        <w:rFonts w:hint="default"/>
      </w:rPr>
    </w:lvl>
  </w:abstractNum>
  <w:abstractNum w:abstractNumId="0">
    <w:multiLevelType w:val="hybridMultilevel"/>
    <w:lvl w:ilvl="0">
      <w:start w:val="0"/>
      <w:numFmt w:val="bullet"/>
      <w:lvlText w:val="•"/>
      <w:lvlJc w:val="left"/>
      <w:pPr>
        <w:ind w:left="504" w:hanging="284"/>
      </w:pPr>
      <w:rPr>
        <w:rFonts w:hint="default" w:ascii="Arial" w:hAnsi="Arial" w:eastAsia="Arial" w:cs="Arial"/>
        <w:color w:val="FFFFFF"/>
        <w:w w:val="142"/>
        <w:sz w:val="16"/>
        <w:szCs w:val="16"/>
      </w:rPr>
    </w:lvl>
    <w:lvl w:ilvl="1">
      <w:start w:val="0"/>
      <w:numFmt w:val="bullet"/>
      <w:lvlText w:val="•"/>
      <w:lvlJc w:val="left"/>
      <w:pPr>
        <w:ind w:left="860" w:hanging="284"/>
      </w:pPr>
      <w:rPr>
        <w:rFonts w:hint="default"/>
      </w:rPr>
    </w:lvl>
    <w:lvl w:ilvl="2">
      <w:start w:val="0"/>
      <w:numFmt w:val="bullet"/>
      <w:lvlText w:val="•"/>
      <w:lvlJc w:val="left"/>
      <w:pPr>
        <w:ind w:left="1220" w:hanging="284"/>
      </w:pPr>
      <w:rPr>
        <w:rFonts w:hint="default"/>
      </w:rPr>
    </w:lvl>
    <w:lvl w:ilvl="3">
      <w:start w:val="0"/>
      <w:numFmt w:val="bullet"/>
      <w:lvlText w:val="•"/>
      <w:lvlJc w:val="left"/>
      <w:pPr>
        <w:ind w:left="1580" w:hanging="284"/>
      </w:pPr>
      <w:rPr>
        <w:rFonts w:hint="default"/>
      </w:rPr>
    </w:lvl>
    <w:lvl w:ilvl="4">
      <w:start w:val="0"/>
      <w:numFmt w:val="bullet"/>
      <w:lvlText w:val="•"/>
      <w:lvlJc w:val="left"/>
      <w:pPr>
        <w:ind w:left="1940" w:hanging="284"/>
      </w:pPr>
      <w:rPr>
        <w:rFonts w:hint="default"/>
      </w:rPr>
    </w:lvl>
    <w:lvl w:ilvl="5">
      <w:start w:val="0"/>
      <w:numFmt w:val="bullet"/>
      <w:lvlText w:val="•"/>
      <w:lvlJc w:val="left"/>
      <w:pPr>
        <w:ind w:left="2300" w:hanging="284"/>
      </w:pPr>
      <w:rPr>
        <w:rFonts w:hint="default"/>
      </w:rPr>
    </w:lvl>
    <w:lvl w:ilvl="6">
      <w:start w:val="0"/>
      <w:numFmt w:val="bullet"/>
      <w:lvlText w:val="•"/>
      <w:lvlJc w:val="left"/>
      <w:pPr>
        <w:ind w:left="2660" w:hanging="284"/>
      </w:pPr>
      <w:rPr>
        <w:rFonts w:hint="default"/>
      </w:rPr>
    </w:lvl>
    <w:lvl w:ilvl="7">
      <w:start w:val="0"/>
      <w:numFmt w:val="bullet"/>
      <w:lvlText w:val="•"/>
      <w:lvlJc w:val="left"/>
      <w:pPr>
        <w:ind w:left="3020" w:hanging="284"/>
      </w:pPr>
      <w:rPr>
        <w:rFonts w:hint="default"/>
      </w:rPr>
    </w:lvl>
    <w:lvl w:ilvl="8">
      <w:start w:val="0"/>
      <w:numFmt w:val="bullet"/>
      <w:lvlText w:val="•"/>
      <w:lvlJc w:val="left"/>
      <w:pPr>
        <w:ind w:left="3380"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6"/>
      <w:szCs w:val="16"/>
    </w:rPr>
  </w:style>
  <w:style w:styleId="Heading1" w:type="paragraph">
    <w:name w:val="Heading 1"/>
    <w:basedOn w:val="Normal"/>
    <w:uiPriority w:val="1"/>
    <w:qFormat/>
    <w:pPr>
      <w:ind w:left="113"/>
      <w:outlineLvl w:val="1"/>
    </w:pPr>
    <w:rPr>
      <w:rFonts w:ascii="Roboto" w:hAnsi="Roboto" w:eastAsia="Roboto" w:cs="Roboto"/>
      <w:b/>
      <w:bCs/>
      <w:sz w:val="18"/>
      <w:szCs w:val="18"/>
    </w:rPr>
  </w:style>
  <w:style w:styleId="Heading2" w:type="paragraph">
    <w:name w:val="Heading 2"/>
    <w:basedOn w:val="Normal"/>
    <w:uiPriority w:val="1"/>
    <w:qFormat/>
    <w:pPr>
      <w:spacing w:before="52"/>
      <w:ind w:left="221"/>
      <w:outlineLvl w:val="2"/>
    </w:pPr>
    <w:rPr>
      <w:rFonts w:ascii="Roboto" w:hAnsi="Roboto" w:eastAsia="Roboto" w:cs="Roboto"/>
      <w:b/>
      <w:bCs/>
      <w:sz w:val="16"/>
      <w:szCs w:val="16"/>
    </w:rPr>
  </w:style>
  <w:style w:styleId="ListParagraph" w:type="paragraph">
    <w:name w:val="List Paragraph"/>
    <w:basedOn w:val="Normal"/>
    <w:uiPriority w:val="1"/>
    <w:qFormat/>
    <w:pPr>
      <w:ind w:left="397" w:hanging="283"/>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wlv.ac.uk/SSW" TargetMode="External"/><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yperlink" Target="http://www.b-eat.co.uk/" TargetMode="External"/><Relationship Id="rId23" Type="http://schemas.openxmlformats.org/officeDocument/2006/relationships/hyperlink" Target="http://www.bda.uk.com/" TargetMode="External"/><Relationship Id="rId24" Type="http://schemas.openxmlformats.org/officeDocument/2006/relationships/hyperlink" Target="http://www.samaritans.org.uk/" TargetMode="External"/><Relationship Id="rId25" Type="http://schemas.openxmlformats.org/officeDocument/2006/relationships/hyperlink" Target="http://www.rcpsych.ac.uk/healthadvice/atozindex.aspx" TargetMode="External"/><Relationship Id="rId26" Type="http://schemas.openxmlformats.org/officeDocument/2006/relationships/hyperlink" Target="http://www.mind.org.uk/information-support/mental-health-a-z/" TargetMode="External"/><Relationship Id="rId27" Type="http://schemas.openxmlformats.org/officeDocument/2006/relationships/hyperlink" Target="http://www.ntw.nhs.uk/pic/selfhelp/" TargetMode="External"/><Relationship Id="rId28" Type="http://schemas.openxmlformats.org/officeDocument/2006/relationships/hyperlink" Target="http://www.nhs.uk/" TargetMode="External"/><Relationship Id="rId29" Type="http://schemas.openxmlformats.org/officeDocument/2006/relationships/hyperlink" Target="http://franticworld.com/free-meditations-"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2019-03-04T10:47:20Z</dcterms:created>
  <dcterms:modified xsi:type="dcterms:W3CDTF">2019-03-04T10:47:20Z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Adobe InDesign CC 2014 (Macintosh)</vt:lpwstr>
  </property>
  <property fmtid="{D5CDD505-2E9C-101B-9397-08002B2CF9AE}" pid="4" name="LastSaved">
    <vt:filetime>2019-03-04T00:00:00Z</vt:filetime>
  </property>
</Properties>
</file>